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"El género cambia ¿las instituciones también? desafíos de la docen</w:t>
      </w:r>
      <w:r w:rsidDel="00000000" w:rsidR="00000000" w:rsidRPr="00000000">
        <w:rPr>
          <w:b w:val="1"/>
          <w:i w:val="1"/>
          <w:rtl w:val="0"/>
        </w:rPr>
        <w:t xml:space="preserve">cia </w:t>
      </w:r>
      <w:r w:rsidDel="00000000" w:rsidR="00000000" w:rsidRPr="00000000">
        <w:rPr>
          <w:b w:val="1"/>
          <w:rtl w:val="0"/>
        </w:rPr>
        <w:t xml:space="preserve">universitaria"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Herramientas conceptuales y prácticas para hacer del aula un espacio más hospitalario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Febrero 2021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PRESENTACIÓN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las últimas décadas la diversidad de género ha cobrado cada vez más protagonismo en la esfera pública. La visibilización de demandas y reivindicaciones de un amplio abanico de identidades, ha ocupado la atención de los medios, las organizaciones sociales, los partidos políticos y el Estado. En sintonía, en Argentina se sancionaron diversas leyes que modifican nuestro repertorio legislativo en lo que hace a cuestiones de género y que dan cuenta de las transformaciones significativas que este concepto ha experimentado.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este escenario, lxs docentes se encuentran con situaciones nuevas y desafiantes para las que muchas veces no han tenido una formación necesaria. Concretamente, se presentan cuestiones a las que deben dar respuesta tanto en la vida cotidiana de las aulas y los pasillos, como desde las instancias de organización, evaluación y planificación curricular. Todas ellas orbitan en torno a la necesidad de dar forma a un sistema educativo que garantice los derechos de todos los sujetos, especialmente aquellos que de manera sistemática han sufrido prácticas expulsivas, entre otras cosas debido a su identidad y/o expresión de género.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presente curso se propone brindar a lxs docentes universitarixs herramientas conceptuales y prácticas para abordar estas cuestiones. La propuesta responde a un pedido de AGD, en el marco de un trabajo articulado con la Cátedra durante el 2020 para promover la inserción laboral trans* en la Universidad de Buenos Aires. 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cinco módulos se ofrece un acercamiento a algunos conceptos fundamentales de los estudios sobre géneros y sexualidades, a los problemas más habituales en relación con la violencia y la discriminación por identidad de género institucional y en el sistema educativo, y presenta herramientas prácticas para hacer de los espacios institucionales ámbitos más hospitalarios. Con esto se apunta a colaborar con las prácticas institucionales y el trabajo cotidiano de lxs docentes, ofreciendo las nociones teóricas fundamentales para hacerlo, incorporando y poniendo en valor aquellas ya existentes. Todo ello enfocado en el mejoramiento de las experiencias de quienes transitan por nuestras instituciones.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DOCENTES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Cátedra Libre de Estudios Trans* (Francis Fabre y Marian Rutigliano)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CONTENIDOS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UNIDAD I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Introducción a los Estudios Trans*. Conceptos principales: género, sexo, identidad de género, binario de género, cisexismo y transfobia.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UNIDAD II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construcción de la transexualidad: El género y las personas trans en la literatura biomédica. El concepto de género. Patologización. 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UNIDAD III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Las olas feministas y la perspectiva de género: La concepción heredada y la actitud natural del género. El sistema sexo/género y el binario de la diferencia sexual.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UNIDAD IV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Género y derechos de las personas trans: de los Principios de Yogyakarta a la Ley de Identidad de Género. Los anteojos violeta de la Educación Sexual Integral. La Ley Micaela, nociones de violencia de género y el curso de género del Rectorado de la Universidad de Buenos Aires.  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UNIDAD V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Herramientas y estrategias para abordar en el aula: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elaboración de programas, selección de material bibliográfico, diagramación de actividades. Elementos prácticos para el desarrollo de un trato digno según la Ley de Identidad de Género. Mitos sobre personas trans* en las instituciones educativas. La intención vs. resultado.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BIBLIOGRAFÍA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UNIDAD I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Stone, Sandy (1991) “El imperio contraataca: un manifiesto post-transexual”  [Disponible en: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https://lasdisidentes.com/2012/08/02/el-imperio-contraataca-un-manifiesto-post-transexual1-por-sandy-stone/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-Fausto Sterling, Anne (2006). </w:t>
      </w:r>
      <w:r w:rsidDel="00000000" w:rsidR="00000000" w:rsidRPr="00000000">
        <w:rPr>
          <w:i w:val="1"/>
          <w:rtl w:val="0"/>
        </w:rPr>
        <w:t xml:space="preserve">Cuerpos sexuados. La política del género y la construcción de la sexualidad. </w:t>
      </w:r>
      <w:r w:rsidDel="00000000" w:rsidR="00000000" w:rsidRPr="00000000">
        <w:rPr>
          <w:rtl w:val="0"/>
        </w:rPr>
        <w:t xml:space="preserve">Barcelona: Melusina. Capítulo I: “Duelo a los dualismos”, pp. 15-46.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-Laqueur, Thomas (1994) [1990]. </w:t>
      </w:r>
      <w:r w:rsidDel="00000000" w:rsidR="00000000" w:rsidRPr="00000000">
        <w:rPr>
          <w:i w:val="1"/>
          <w:rtl w:val="0"/>
        </w:rPr>
        <w:t xml:space="preserve">La construcción del sexo. Cuerpo y género desde los griegos hasta Freud. </w:t>
      </w:r>
      <w:r w:rsidDel="00000000" w:rsidR="00000000" w:rsidRPr="00000000">
        <w:rPr>
          <w:rtl w:val="0"/>
        </w:rPr>
        <w:t xml:space="preserve">Madrid: Cátedra. Capítulo I: “Sobre el lenguaje y la carne”, pp. 15-53.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-Cabral, Mauro (2009) Cisexual. En M. Cabral (Ed.) Construyéndonos. Cuaderno de lecturas sobre feminismos trans, pp. 48.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UNIDAD II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Kara, Sheherezade (2017) Gender is not an illness. How pathologizing trans people violates international human rights law. GATE. Versión en castellano: El género no es una enfermedad. Por qué tratar como enfermas a las personas trans viola la legislación internacional de los derechos humanos.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- Missé, Miquel y Coll-Planas, Gerard (2010) La patologización de la transexualidad: reflexiones críticas y propuestas. En</w:t>
      </w:r>
      <w:r w:rsidDel="00000000" w:rsidR="00000000" w:rsidRPr="00000000">
        <w:rPr>
          <w:i w:val="1"/>
          <w:rtl w:val="0"/>
        </w:rPr>
        <w:t xml:space="preserve"> Norte de salud mental, 2010, vol. VIII, nº 38</w:t>
      </w:r>
      <w:r w:rsidDel="00000000" w:rsidR="00000000" w:rsidRPr="00000000">
        <w:rPr>
          <w:rtl w:val="0"/>
        </w:rPr>
        <w:t xml:space="preserve">, pp. 44-55.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-Cabral, Mauro (17 de octubre de 2014) “Leyendo entre líneas”. Página 12. Recuperado de https://www.pagina12.com.ar/diario/suplementos/soy/1-3667-2014-10-17.html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-STOP TRANS PATHOLOGIZATION “Manifiesto” [Disponible en http://stp2012.info/old/es/manifiesto]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-STOP TRANS PATHOLOGIZATION “Objetivos” [Disponible en: http://stp2012.info/old/es/objetivos]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UNIDAD III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Pérez, Moira (2019). Queer/Feminismos. Diálogos y disputas de dos campos en tensión. En Susana Gamba Se va a caer. Feminismos: Conceptos clave. La Plata (Argentina): Pixel.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-Cabral, Mauro (2011). La paradoja transgénero. En C. Cáceres, M. E. Mogollón, G. Pérez Luna y F. Olivos (Eds.) </w:t>
      </w:r>
      <w:r w:rsidDel="00000000" w:rsidR="00000000" w:rsidRPr="00000000">
        <w:rPr>
          <w:i w:val="1"/>
          <w:rtl w:val="0"/>
        </w:rPr>
        <w:t xml:space="preserve">Sexualidad, ciudadanía y derechos humanos en América Latina: un quinquenio de aportes regionales al debate y la reflexión</w:t>
      </w:r>
      <w:r w:rsidDel="00000000" w:rsidR="00000000" w:rsidRPr="00000000">
        <w:rPr>
          <w:rtl w:val="0"/>
        </w:rPr>
        <w:t xml:space="preserve">. Lima: IESSDEH – UPCH, 97-104.</w:t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  <w:t xml:space="preserve">-Koyama, Emi (2000) Selección de “¿De quién es este feminismo, entonces? El tácito racismo del debate sobre la inclusión trans”. En M. Cabral (ed.)  </w:t>
      </w:r>
      <w:r w:rsidDel="00000000" w:rsidR="00000000" w:rsidRPr="00000000">
        <w:rPr>
          <w:i w:val="1"/>
          <w:rtl w:val="0"/>
        </w:rPr>
        <w:t xml:space="preserve">Construyéndonos. Cuaderno de lecturas sobre feminismos trans, </w:t>
      </w:r>
      <w:r w:rsidDel="00000000" w:rsidR="00000000" w:rsidRPr="00000000">
        <w:rPr>
          <w:rtl w:val="0"/>
        </w:rPr>
        <w:t xml:space="preserve">pp. 49-51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Radi, Blas (2020). Notas (al pie) sobre cisnormatividad y feminismo. En </w:t>
      </w:r>
      <w:r w:rsidDel="00000000" w:rsidR="00000000" w:rsidRPr="00000000">
        <w:rPr>
          <w:i w:val="1"/>
          <w:rtl w:val="0"/>
        </w:rPr>
        <w:t xml:space="preserve">Ideas. Revista de filosofía moderna y contemporánea, 11,</w:t>
      </w:r>
      <w:r w:rsidDel="00000000" w:rsidR="00000000" w:rsidRPr="00000000">
        <w:rPr>
          <w:rtl w:val="0"/>
        </w:rPr>
        <w:t xml:space="preserve"> pp. 23-36. 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-Perez, Moira y Trujillo, Gracia (2020). Feminismos excluyentes: avance internacional y algunas respuestas posible. Pikaramagazine [Disponible en: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https://www.pikaramagazine.com/2020/12/feminismos-excluyentes-avance-internacional-algunas-respuestas-posibles/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UNIDAD IV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-Ley de Identidad de Género (Ley 26.743) 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-Programa Nacional de Educacion Sexual Integral (Ley 26.150)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-Principios de Yogyakarta (Principios sobre la aplicación de la legislación internacional de derechos humanos en relación con la orientación sexual y la identidad de género) [Disponible en: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http://defensoria.org.ar/wp-content/uploads/2017/02/PRINCIPIOS-DE-YOGYAKARTA-II.pdf</w:t>
        </w:r>
      </w:hyperlink>
      <w:r w:rsidDel="00000000" w:rsidR="00000000" w:rsidRPr="00000000">
        <w:rPr>
          <w:rtl w:val="0"/>
        </w:rPr>
        <w:t xml:space="preserve"> ]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-Ley “Micaela” de Capacitación Obligatoria en Género para todas las personas que integran los tres poderes del Estado (Ley 27.499)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-Radi, Blas (2019) Ensayo: ¿Que es el tokenismo cisexista? [Disponible en: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http://revistaanfibia.com/ensayo/que-es-tokenismo-cisexista/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-Moira Pérez y Blas Radi (2018). El concepto de 'violencia de género' como espejismo hermenéutico. En</w:t>
      </w:r>
      <w:r w:rsidDel="00000000" w:rsidR="00000000" w:rsidRPr="00000000">
        <w:rPr>
          <w:i w:val="1"/>
          <w:rtl w:val="0"/>
        </w:rPr>
        <w:t xml:space="preserve"> Igualdad, autonomía personal y derechos sociales, 8,</w:t>
      </w:r>
      <w:r w:rsidDel="00000000" w:rsidR="00000000" w:rsidRPr="00000000">
        <w:rPr>
          <w:rtl w:val="0"/>
        </w:rPr>
        <w:t xml:space="preserve"> pp. 69-88.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UNIDAD V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-Perez, Moira y Radi, Blas (2014). </w:t>
      </w:r>
      <w:hyperlink r:id="rId10">
        <w:r w:rsidDel="00000000" w:rsidR="00000000" w:rsidRPr="00000000">
          <w:rPr>
            <w:rtl w:val="0"/>
          </w:rPr>
          <w:t xml:space="preserve">Diversidad sexo-genérica en el ámbito educativo: ausencias, presencias y alternativas</w:t>
        </w:r>
      </w:hyperlink>
      <w:r w:rsidDel="00000000" w:rsidR="00000000" w:rsidRPr="00000000">
        <w:rPr>
          <w:rtl w:val="0"/>
        </w:rPr>
        <w:t xml:space="preserve">. En Programa para el Mejoramiento de la Enseñanza de la Filosofía Actas de las XXI Jornadas sobre la enseñanza de la Filosofía. Buenos Aires (Argentina): FFyL.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-Spade, Dean (2010). “Hacer las aulas más acogedoras para las personas trans” [entrada de blog]. [Disponible en http://cruciferous.livejournal.com/15984.html?view=133232#t133232] [traducción facilitada por el equipo docente]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-Cabral, Mauro (2009) “Cómo decir. Teatro de operaciones.” En M. Cabral (Ed.) </w:t>
      </w:r>
      <w:r w:rsidDel="00000000" w:rsidR="00000000" w:rsidRPr="00000000">
        <w:rPr>
          <w:i w:val="1"/>
          <w:rtl w:val="0"/>
        </w:rPr>
        <w:t xml:space="preserve">Construyéndonos. Cuaderno de lecturas sobre feminismos trans</w:t>
      </w:r>
      <w:r w:rsidDel="00000000" w:rsidR="00000000" w:rsidRPr="00000000">
        <w:rPr>
          <w:rtl w:val="0"/>
        </w:rPr>
        <w:t xml:space="preserve">, pp. 142-145.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-Hale, Jacob (2009). “Reglas sugeridas para personas no transexuales que escriben sobre transexuales, transexualidad, transexualismo, o trans ____.” Traducción del inglés: Moira Pérez y Blas Radi (2015).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Metodología de trabajo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curso se estructurará en 5 encuentros (uno por semana) de tres horas de duración.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Las clases se estructurarán a partir de los textos provistos en el programa, que son de lectura no obligatoria pero fuertemente recomendada. Sus ideas principales serán presentadas en la clase. Se llevarán a cabo instancias de puesta en común de actividades semanales de reflexión y debate propuestas por los docentes. </w:t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Se ofrecerán los ejes conceptuales correspondientes a cada unidad, con miras a proveer una cartografía temático-problemática que, lejos de pretender agotar el campo, servirá de desencadenante para futuras apropiaciones en sus espacios institucionales una vez finalizado el curso.</w:t>
      </w:r>
    </w:p>
    <w:p w:rsidR="00000000" w:rsidDel="00000000" w:rsidP="00000000" w:rsidRDefault="00000000" w:rsidRPr="00000000" w14:paraId="0000004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Así mismo, semanalmente se propondrán actividades de resolución no obligatoria, considerando una aplicación a temas de actualidad y/o materiales audiovisuales los conceptos trabajados durante las clases.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Para la aprobación del curso se necesitará una asistencia mínima del 80%, y la resolución obligatoria de una actividad final. 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Modalidad: 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Duración total de horas reloj: 16 hs.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Frecuencia: 1 encuentro de 3 hs. por semana y 1 encuentro de 1 hora para el cierre de las evaluaciones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Cantidad de vacantes por cohorte: 25</w:t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EVALUACIÓN </w:t>
      </w:r>
    </w:p>
    <w:p w:rsidR="00000000" w:rsidDel="00000000" w:rsidP="00000000" w:rsidRDefault="00000000" w:rsidRPr="00000000" w14:paraId="0000004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Desde el primer encuentro se irá trabajando con lxs inscriptxs para que puedan formular, al final, un breve trabajo escrito donde se identifiquen problemáticas institucionales y/o pedagógicas vivenciadas por lx docente y se haga una propuesta de abordaje a partir de las herramientas provistas durante las clases.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aacademica.org/moira.perez/44" TargetMode="External"/><Relationship Id="rId9" Type="http://schemas.openxmlformats.org/officeDocument/2006/relationships/hyperlink" Target="http://revistaanfibia.com/ensayo/que-es-tokenismo-cisexista/" TargetMode="External"/><Relationship Id="rId5" Type="http://schemas.openxmlformats.org/officeDocument/2006/relationships/styles" Target="styles.xml"/><Relationship Id="rId6" Type="http://schemas.openxmlformats.org/officeDocument/2006/relationships/hyperlink" Target="https://lasdisidentes.com/2012/08/02/el-imperio-contraataca-un-manifiesto-post-transexual1-por-sandy-stone/" TargetMode="External"/><Relationship Id="rId7" Type="http://schemas.openxmlformats.org/officeDocument/2006/relationships/hyperlink" Target="https://www.pikaramagazine.com/2020/12/feminismos-excluyentes-avance-internacional-algunas-respuestas-posibles/" TargetMode="External"/><Relationship Id="rId8" Type="http://schemas.openxmlformats.org/officeDocument/2006/relationships/hyperlink" Target="http://www.defensoria.org.ar/wp-content/uploads/2017/02/PRINCIPIOS-DE-YOGYAKARTA-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